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A8B1" w14:textId="757BFC69" w:rsidR="009132FE" w:rsidRPr="00943DFF" w:rsidRDefault="00A13585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муниципальным бюджетным </w:t>
      </w:r>
      <w:r w:rsidR="00785570">
        <w:rPr>
          <w:b/>
          <w:sz w:val="24"/>
          <w:szCs w:val="24"/>
        </w:rPr>
        <w:t>обще</w:t>
      </w:r>
      <w:r w:rsidR="00A950D3" w:rsidRPr="00943DFF">
        <w:rPr>
          <w:b/>
          <w:sz w:val="24"/>
          <w:szCs w:val="24"/>
        </w:rPr>
        <w:t>образовательным учреждением «</w:t>
      </w:r>
      <w:r w:rsidR="00785570" w:rsidRPr="00785570">
        <w:rPr>
          <w:b/>
          <w:sz w:val="24"/>
          <w:szCs w:val="24"/>
        </w:rPr>
        <w:t>Космодемьянская средняя общеобразовательная школа</w:t>
      </w:r>
      <w:r w:rsidR="00A950D3" w:rsidRPr="00943DFF">
        <w:rPr>
          <w:b/>
          <w:sz w:val="24"/>
          <w:szCs w:val="24"/>
        </w:rPr>
        <w:t>»</w:t>
      </w:r>
    </w:p>
    <w:p w14:paraId="6F17522F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6CB8C4A4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075CB341" w14:textId="04898811"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785570">
        <w:rPr>
          <w:rFonts w:ascii="Times New Roman" w:hAnsi="Times New Roman"/>
          <w:sz w:val="24"/>
          <w:szCs w:val="24"/>
        </w:rPr>
        <w:t>4</w:t>
      </w:r>
      <w:r w:rsidR="00A13585" w:rsidRPr="00A13585">
        <w:rPr>
          <w:rFonts w:ascii="Times New Roman" w:hAnsi="Times New Roman"/>
          <w:sz w:val="24"/>
          <w:szCs w:val="24"/>
        </w:rPr>
        <w:t xml:space="preserve">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товаров, работ, услуг для обеспечения муниципальных нужд Рузского городского округа на 202</w:t>
      </w:r>
      <w:r w:rsidR="0054790F">
        <w:rPr>
          <w:rFonts w:ascii="Times New Roman" w:hAnsi="Times New Roman"/>
          <w:sz w:val="24"/>
          <w:szCs w:val="24"/>
        </w:rPr>
        <w:t>2</w:t>
      </w:r>
      <w:r w:rsidR="00A13585" w:rsidRPr="00A13585">
        <w:rPr>
          <w:rFonts w:ascii="Times New Roman" w:hAnsi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</w:t>
      </w:r>
      <w:r w:rsidR="0054790F">
        <w:rPr>
          <w:rFonts w:ascii="Times New Roman" w:hAnsi="Times New Roman"/>
          <w:sz w:val="24"/>
          <w:szCs w:val="24"/>
        </w:rPr>
        <w:t>29</w:t>
      </w:r>
      <w:r w:rsidR="00A13585" w:rsidRPr="00A13585">
        <w:rPr>
          <w:rFonts w:ascii="Times New Roman" w:hAnsi="Times New Roman"/>
          <w:sz w:val="24"/>
          <w:szCs w:val="24"/>
        </w:rPr>
        <w:t>.12.202</w:t>
      </w:r>
      <w:r w:rsidR="0054790F">
        <w:rPr>
          <w:rFonts w:ascii="Times New Roman" w:hAnsi="Times New Roman"/>
          <w:sz w:val="24"/>
          <w:szCs w:val="24"/>
        </w:rPr>
        <w:t>1</w:t>
      </w:r>
      <w:r w:rsidR="00A13585" w:rsidRPr="00A13585">
        <w:rPr>
          <w:rFonts w:ascii="Times New Roman" w:hAnsi="Times New Roman"/>
          <w:sz w:val="24"/>
          <w:szCs w:val="24"/>
        </w:rPr>
        <w:t xml:space="preserve"> № </w:t>
      </w:r>
      <w:r w:rsidR="0054790F">
        <w:rPr>
          <w:rFonts w:ascii="Times New Roman" w:hAnsi="Times New Roman"/>
          <w:sz w:val="24"/>
          <w:szCs w:val="24"/>
        </w:rPr>
        <w:t>5261</w:t>
      </w:r>
      <w:r w:rsidRPr="00A13585">
        <w:rPr>
          <w:rFonts w:ascii="Times New Roman" w:hAnsi="Times New Roman"/>
          <w:sz w:val="24"/>
          <w:szCs w:val="24"/>
        </w:rPr>
        <w:t>;</w:t>
      </w:r>
    </w:p>
    <w:p w14:paraId="0A5578D8" w14:textId="6D7E373C" w:rsidR="009132FE" w:rsidRPr="00A950D3" w:rsidRDefault="00165E83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785570">
        <w:rPr>
          <w:rFonts w:ascii="Times New Roman" w:hAnsi="Times New Roman"/>
          <w:sz w:val="24"/>
          <w:szCs w:val="24"/>
        </w:rPr>
        <w:t>13</w:t>
      </w:r>
      <w:r w:rsidR="00A950D3" w:rsidRPr="00A950D3">
        <w:rPr>
          <w:rFonts w:ascii="Times New Roman" w:hAnsi="Times New Roman"/>
          <w:sz w:val="24"/>
          <w:szCs w:val="24"/>
        </w:rPr>
        <w:t>.0</w:t>
      </w:r>
      <w:r w:rsidR="00785570">
        <w:rPr>
          <w:rFonts w:ascii="Times New Roman" w:hAnsi="Times New Roman"/>
          <w:sz w:val="24"/>
          <w:szCs w:val="24"/>
        </w:rPr>
        <w:t>5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54790F">
        <w:rPr>
          <w:rFonts w:ascii="Times New Roman" w:hAnsi="Times New Roman"/>
          <w:sz w:val="24"/>
          <w:szCs w:val="24"/>
        </w:rPr>
        <w:t>2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785570">
        <w:rPr>
          <w:rFonts w:ascii="Times New Roman" w:hAnsi="Times New Roman"/>
          <w:sz w:val="24"/>
          <w:szCs w:val="24"/>
        </w:rPr>
        <w:t>125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14:paraId="0C099ABD" w14:textId="77777777"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781F4D6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14:paraId="7F9AAE13" w14:textId="3F0A3FF1" w:rsidR="009132FE" w:rsidRPr="00A950D3" w:rsidRDefault="00A950D3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A950D3"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</w:t>
      </w:r>
      <w:r w:rsidR="00785570">
        <w:rPr>
          <w:sz w:val="24"/>
          <w:szCs w:val="24"/>
        </w:rPr>
        <w:t>обще</w:t>
      </w:r>
      <w:r w:rsidRPr="00A950D3">
        <w:rPr>
          <w:sz w:val="24"/>
          <w:szCs w:val="24"/>
        </w:rPr>
        <w:t>образовательным учреждением «</w:t>
      </w:r>
      <w:r w:rsidR="00785570" w:rsidRPr="00785570">
        <w:rPr>
          <w:sz w:val="24"/>
          <w:szCs w:val="24"/>
        </w:rPr>
        <w:t>Космодемьянская средняя общеобразовательная школа</w:t>
      </w:r>
      <w:r w:rsidRPr="00A950D3">
        <w:rPr>
          <w:sz w:val="24"/>
          <w:szCs w:val="24"/>
        </w:rPr>
        <w:t>».</w:t>
      </w:r>
    </w:p>
    <w:p w14:paraId="6C15042A" w14:textId="77777777"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14:paraId="7D4DA36F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14:paraId="2683D3FC" w14:textId="3D58F364" w:rsidR="009132FE" w:rsidRPr="00A950D3" w:rsidRDefault="00A950D3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A950D3">
        <w:t xml:space="preserve">униципальное бюджетное </w:t>
      </w:r>
      <w:r w:rsidR="00785570">
        <w:t>обще</w:t>
      </w:r>
      <w:r w:rsidRPr="00A950D3">
        <w:t>образовательное учреждение «</w:t>
      </w:r>
      <w:r w:rsidR="00785570" w:rsidRPr="00785570">
        <w:t>Космодемьянская средняя общеобразовательная школа</w:t>
      </w:r>
      <w:r w:rsidRPr="00A950D3">
        <w:t>», сокращенное наименование – МБОУ «</w:t>
      </w:r>
      <w:r w:rsidR="00785570" w:rsidRPr="00785570">
        <w:t>Космодемьянская средняя общеобразовательная школа</w:t>
      </w:r>
      <w:r w:rsidR="00165E83" w:rsidRPr="00A950D3">
        <w:t>» (</w:t>
      </w:r>
      <w:r w:rsidRPr="00A950D3">
        <w:t>далее – МБОУ «</w:t>
      </w:r>
      <w:r w:rsidR="00785570" w:rsidRPr="00785570">
        <w:t>Космодемьянская СОШ</w:t>
      </w:r>
      <w:r w:rsidRPr="00A950D3">
        <w:t xml:space="preserve">», Учреждение), ИНН </w:t>
      </w:r>
      <w:r w:rsidR="00785570" w:rsidRPr="00785570">
        <w:t>5075009592</w:t>
      </w:r>
      <w:r w:rsidRPr="00A950D3">
        <w:t xml:space="preserve">, КПП </w:t>
      </w:r>
      <w:r w:rsidR="00785570" w:rsidRPr="00785570">
        <w:t>507501001</w:t>
      </w:r>
      <w:r w:rsidRPr="00A950D3">
        <w:t>.</w:t>
      </w:r>
    </w:p>
    <w:p w14:paraId="2A682B5D" w14:textId="77777777"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14:paraId="795446D4" w14:textId="111A0B8D"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54790F">
        <w:rPr>
          <w:color w:val="323232"/>
        </w:rPr>
        <w:t>Солдатов</w:t>
      </w:r>
      <w:r w:rsidRPr="001101B6">
        <w:rPr>
          <w:color w:val="323232"/>
        </w:rPr>
        <w:t xml:space="preserve"> А.В. – руководитель </w:t>
      </w:r>
      <w:r w:rsidR="00A13585">
        <w:rPr>
          <w:color w:val="323232"/>
        </w:rPr>
        <w:t>инспекции</w:t>
      </w:r>
      <w:r w:rsidRPr="001101B6">
        <w:rPr>
          <w:color w:val="323232"/>
        </w:rPr>
        <w:t xml:space="preserve">; </w:t>
      </w:r>
    </w:p>
    <w:p w14:paraId="312E2E20" w14:textId="73BD79A0" w:rsidR="00A13585" w:rsidRDefault="00A13585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Pr="00A13585">
        <w:rPr>
          <w:color w:val="323232"/>
        </w:rPr>
        <w:t xml:space="preserve">Орехова О.В. </w:t>
      </w:r>
      <w:r w:rsidR="0054790F">
        <w:rPr>
          <w:color w:val="323232"/>
        </w:rPr>
        <w:t>Трофимова Е.А.</w:t>
      </w:r>
      <w:r w:rsidR="0054790F" w:rsidRPr="00A13585">
        <w:rPr>
          <w:color w:val="323232"/>
        </w:rPr>
        <w:t xml:space="preserve"> </w:t>
      </w:r>
      <w:r w:rsidRPr="001101B6">
        <w:rPr>
          <w:color w:val="323232"/>
        </w:rPr>
        <w:t xml:space="preserve">– член </w:t>
      </w:r>
      <w:r>
        <w:rPr>
          <w:color w:val="323232"/>
        </w:rPr>
        <w:t>инспекции</w:t>
      </w:r>
      <w:r w:rsidR="00A950D3">
        <w:rPr>
          <w:color w:val="323232"/>
        </w:rPr>
        <w:t>.</w:t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  <w:r w:rsidR="009132FE" w:rsidRPr="001101B6">
        <w:rPr>
          <w:b/>
          <w:color w:val="323232"/>
        </w:rPr>
        <w:tab/>
      </w:r>
    </w:p>
    <w:p w14:paraId="53AC45E2" w14:textId="77777777" w:rsidR="009132FE" w:rsidRPr="001101B6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  <w:r w:rsidR="009132FE" w:rsidRPr="001101B6">
        <w:rPr>
          <w:color w:val="323232"/>
        </w:rPr>
        <w:tab/>
      </w:r>
    </w:p>
    <w:p w14:paraId="1301DB27" w14:textId="043C5321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785570">
        <w:t>27</w:t>
      </w:r>
      <w:r w:rsidR="00A950D3" w:rsidRPr="00943DFF">
        <w:t>.0</w:t>
      </w:r>
      <w:r w:rsidR="00785570">
        <w:t>5</w:t>
      </w:r>
      <w:r w:rsidR="00A950D3" w:rsidRPr="00943DFF">
        <w:t>.202</w:t>
      </w:r>
      <w:r w:rsidR="0054790F">
        <w:t>2</w:t>
      </w:r>
      <w:r w:rsidRPr="00943DFF">
        <w:rPr>
          <w:color w:val="323232"/>
        </w:rPr>
        <w:t xml:space="preserve"> по </w:t>
      </w:r>
      <w:r w:rsidR="00785570">
        <w:rPr>
          <w:color w:val="323232"/>
        </w:rPr>
        <w:t>16</w:t>
      </w:r>
      <w:r w:rsidR="00A950D3" w:rsidRPr="00943DFF">
        <w:t>.0</w:t>
      </w:r>
      <w:r w:rsidR="00785570">
        <w:t>6</w:t>
      </w:r>
      <w:r w:rsidR="00A950D3" w:rsidRPr="00943DFF">
        <w:t>.202</w:t>
      </w:r>
      <w:r w:rsidR="0054790F">
        <w:t>2</w:t>
      </w:r>
      <w:r w:rsidRPr="00943DFF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14:paraId="494117CC" w14:textId="19EA68C1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943DFF" w:rsidRPr="00943DFF">
        <w:t>01.01.202</w:t>
      </w:r>
      <w:r w:rsidR="00785570">
        <w:t>1</w:t>
      </w:r>
      <w:r w:rsidR="00943DFF" w:rsidRPr="00943DFF">
        <w:t xml:space="preserve"> по </w:t>
      </w:r>
      <w:r w:rsidR="00785570">
        <w:t>27</w:t>
      </w:r>
      <w:r w:rsidR="00943DFF" w:rsidRPr="00943DFF">
        <w:t>.0</w:t>
      </w:r>
      <w:r w:rsidR="00785570">
        <w:t>5</w:t>
      </w:r>
      <w:r w:rsidR="00943DFF" w:rsidRPr="00943DFF">
        <w:t>.202</w:t>
      </w:r>
      <w:r w:rsidR="00785570">
        <w:t>2</w:t>
      </w:r>
      <w:r w:rsidRPr="001101B6">
        <w:rPr>
          <w:rFonts w:eastAsia="Calibri"/>
        </w:rPr>
        <w:t>.</w:t>
      </w:r>
    </w:p>
    <w:p w14:paraId="613AC287" w14:textId="77777777"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выборочная. </w:t>
      </w:r>
    </w:p>
    <w:p w14:paraId="26459195" w14:textId="77777777"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14:paraId="489B46C6" w14:textId="77777777"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14:paraId="00FC5622" w14:textId="77777777" w:rsidR="0054790F" w:rsidRPr="001101B6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36"/>
        <w:gridCol w:w="1559"/>
        <w:gridCol w:w="1701"/>
      </w:tblGrid>
      <w:tr w:rsidR="00785570" w:rsidRPr="00772C5D" w14:paraId="752BCF67" w14:textId="77777777" w:rsidTr="000F1223">
        <w:trPr>
          <w:trHeight w:val="1255"/>
        </w:trPr>
        <w:tc>
          <w:tcPr>
            <w:tcW w:w="567" w:type="dxa"/>
            <w:vAlign w:val="center"/>
          </w:tcPr>
          <w:p w14:paraId="64584BA7" w14:textId="77777777" w:rsidR="00785570" w:rsidRPr="00772C5D" w:rsidRDefault="00785570" w:rsidP="000F12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A5B25E1" w14:textId="77777777" w:rsidR="00785570" w:rsidRPr="00772C5D" w:rsidRDefault="00785570" w:rsidP="000F12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536" w:type="dxa"/>
            <w:vAlign w:val="center"/>
          </w:tcPr>
          <w:p w14:paraId="05C8E4E9" w14:textId="77777777" w:rsidR="00785570" w:rsidRPr="00772C5D" w:rsidRDefault="00785570" w:rsidP="000F12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14:paraId="07026CA8" w14:textId="77777777" w:rsidR="00785570" w:rsidRPr="00772C5D" w:rsidRDefault="00785570" w:rsidP="000F12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701" w:type="dxa"/>
            <w:vAlign w:val="center"/>
          </w:tcPr>
          <w:p w14:paraId="030F0A61" w14:textId="77777777" w:rsidR="00785570" w:rsidRPr="00772C5D" w:rsidRDefault="00785570" w:rsidP="000F122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Ответств</w:t>
            </w:r>
            <w:r>
              <w:rPr>
                <w:sz w:val="24"/>
                <w:szCs w:val="24"/>
              </w:rPr>
              <w:t>е</w:t>
            </w:r>
            <w:r w:rsidRPr="00772C5D">
              <w:rPr>
                <w:sz w:val="24"/>
                <w:szCs w:val="24"/>
              </w:rPr>
              <w:t>н</w:t>
            </w:r>
          </w:p>
          <w:p w14:paraId="730DD831" w14:textId="77777777" w:rsidR="00785570" w:rsidRPr="00772C5D" w:rsidRDefault="00785570" w:rsidP="000F122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72C5D">
              <w:rPr>
                <w:sz w:val="24"/>
                <w:szCs w:val="24"/>
              </w:rPr>
              <w:t>ность</w:t>
            </w:r>
            <w:proofErr w:type="spellEnd"/>
            <w:r w:rsidRPr="00772C5D">
              <w:rPr>
                <w:sz w:val="24"/>
                <w:szCs w:val="24"/>
              </w:rPr>
              <w:t xml:space="preserve"> по КоАП РФ</w:t>
            </w:r>
            <w:r>
              <w:rPr>
                <w:sz w:val="24"/>
                <w:szCs w:val="24"/>
              </w:rPr>
              <w:t xml:space="preserve"> и КоАП МО</w:t>
            </w:r>
          </w:p>
        </w:tc>
      </w:tr>
      <w:tr w:rsidR="00785570" w:rsidRPr="00772C5D" w14:paraId="13401AA1" w14:textId="77777777" w:rsidTr="000F1223">
        <w:trPr>
          <w:trHeight w:val="1255"/>
        </w:trPr>
        <w:tc>
          <w:tcPr>
            <w:tcW w:w="567" w:type="dxa"/>
            <w:vAlign w:val="center"/>
          </w:tcPr>
          <w:p w14:paraId="2CC0A013" w14:textId="77777777" w:rsidR="00785570" w:rsidRDefault="00785570" w:rsidP="000F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74C9C3E7" w14:textId="77777777" w:rsidR="00785570" w:rsidRPr="00F37D00" w:rsidRDefault="00785570" w:rsidP="000F1223">
            <w:pPr>
              <w:jc w:val="center"/>
              <w:rPr>
                <w:sz w:val="24"/>
                <w:szCs w:val="24"/>
              </w:rPr>
            </w:pPr>
            <w:r w:rsidRPr="00F37D0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F37D00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Ч.</w:t>
            </w:r>
            <w:r w:rsidRPr="00F37D00">
              <w:rPr>
                <w:sz w:val="24"/>
                <w:szCs w:val="24"/>
              </w:rPr>
              <w:t xml:space="preserve"> 4 ст</w:t>
            </w:r>
            <w:r>
              <w:rPr>
                <w:sz w:val="24"/>
                <w:szCs w:val="24"/>
              </w:rPr>
              <w:t>.</w:t>
            </w:r>
            <w:r w:rsidRPr="00F37D00">
              <w:rPr>
                <w:sz w:val="24"/>
                <w:szCs w:val="24"/>
              </w:rPr>
              <w:t xml:space="preserve"> 38 № 44-ФЗ</w:t>
            </w:r>
          </w:p>
        </w:tc>
        <w:tc>
          <w:tcPr>
            <w:tcW w:w="4536" w:type="dxa"/>
            <w:vAlign w:val="center"/>
          </w:tcPr>
          <w:p w14:paraId="7B6D6E4C" w14:textId="77777777" w:rsidR="00785570" w:rsidRPr="00F37D00" w:rsidRDefault="00785570" w:rsidP="000F1223">
            <w:pPr>
              <w:jc w:val="center"/>
              <w:rPr>
                <w:sz w:val="24"/>
                <w:szCs w:val="24"/>
              </w:rPr>
            </w:pPr>
            <w:r w:rsidRPr="00F37D00"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559" w:type="dxa"/>
            <w:vAlign w:val="center"/>
          </w:tcPr>
          <w:p w14:paraId="302D63B4" w14:textId="77777777" w:rsidR="00785570" w:rsidRPr="00F37D00" w:rsidRDefault="00785570" w:rsidP="000F1223">
            <w:pPr>
              <w:jc w:val="center"/>
              <w:rPr>
                <w:sz w:val="24"/>
                <w:szCs w:val="24"/>
              </w:rPr>
            </w:pPr>
            <w:r w:rsidRPr="00F37D0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856C13D" w14:textId="77777777" w:rsidR="00785570" w:rsidRPr="00772C5D" w:rsidRDefault="00785570" w:rsidP="000F1223">
            <w:pPr>
              <w:jc w:val="center"/>
              <w:rPr>
                <w:sz w:val="24"/>
                <w:szCs w:val="24"/>
              </w:rPr>
            </w:pPr>
          </w:p>
        </w:tc>
      </w:tr>
      <w:tr w:rsidR="00785570" w:rsidRPr="00772C5D" w14:paraId="42A3AA37" w14:textId="77777777" w:rsidTr="000F1223">
        <w:trPr>
          <w:trHeight w:val="1255"/>
        </w:trPr>
        <w:tc>
          <w:tcPr>
            <w:tcW w:w="567" w:type="dxa"/>
            <w:vAlign w:val="center"/>
          </w:tcPr>
          <w:p w14:paraId="1D4A4152" w14:textId="77777777" w:rsidR="00785570" w:rsidRDefault="00785570" w:rsidP="000F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44B8AE6C" w14:textId="77777777" w:rsidR="00785570" w:rsidRPr="00F37D00" w:rsidRDefault="00785570" w:rsidP="000F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Pr="00F37D0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, 3</w:t>
            </w:r>
            <w:r w:rsidRPr="00F37D00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.</w:t>
            </w:r>
            <w:r w:rsidRPr="00F37D00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4536" w:type="dxa"/>
            <w:vAlign w:val="center"/>
          </w:tcPr>
          <w:p w14:paraId="7C083195" w14:textId="77777777" w:rsidR="00785570" w:rsidRPr="00F37D00" w:rsidRDefault="00785570" w:rsidP="000F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37D00">
              <w:rPr>
                <w:sz w:val="24"/>
                <w:szCs w:val="24"/>
              </w:rPr>
              <w:t>азработано Положение о контрактном управляющем</w:t>
            </w:r>
          </w:p>
        </w:tc>
        <w:tc>
          <w:tcPr>
            <w:tcW w:w="1559" w:type="dxa"/>
            <w:vAlign w:val="center"/>
          </w:tcPr>
          <w:p w14:paraId="616324DA" w14:textId="77777777" w:rsidR="00785570" w:rsidRPr="00F37D00" w:rsidRDefault="00785570" w:rsidP="000F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389A5A0" w14:textId="77777777" w:rsidR="00785570" w:rsidRPr="00772C5D" w:rsidRDefault="00785570" w:rsidP="000F1223">
            <w:pPr>
              <w:jc w:val="center"/>
              <w:rPr>
                <w:sz w:val="24"/>
                <w:szCs w:val="24"/>
              </w:rPr>
            </w:pPr>
          </w:p>
        </w:tc>
      </w:tr>
      <w:tr w:rsidR="00785570" w:rsidRPr="00772C5D" w14:paraId="38CE4911" w14:textId="77777777" w:rsidTr="000F1223">
        <w:trPr>
          <w:cantSplit/>
          <w:trHeight w:val="1740"/>
        </w:trPr>
        <w:tc>
          <w:tcPr>
            <w:tcW w:w="567" w:type="dxa"/>
            <w:vAlign w:val="center"/>
          </w:tcPr>
          <w:p w14:paraId="1BC5D793" w14:textId="77777777" w:rsidR="00785570" w:rsidRPr="008B1B29" w:rsidRDefault="00785570" w:rsidP="000F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0FEBE2D8" w14:textId="77777777" w:rsidR="00785570" w:rsidRPr="008B1B29" w:rsidRDefault="00785570" w:rsidP="000F122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 xml:space="preserve">Ч. 7 ст. 16 № 44-ФЗ, п. б) ч. 12 Положения по плану-графику </w:t>
            </w:r>
          </w:p>
          <w:p w14:paraId="676A3409" w14:textId="77777777" w:rsidR="00785570" w:rsidRPr="008B1B29" w:rsidRDefault="00785570" w:rsidP="000F122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>№ 1279</w:t>
            </w:r>
          </w:p>
        </w:tc>
        <w:tc>
          <w:tcPr>
            <w:tcW w:w="4536" w:type="dxa"/>
            <w:vAlign w:val="center"/>
          </w:tcPr>
          <w:p w14:paraId="705B269E" w14:textId="77777777" w:rsidR="00785570" w:rsidRPr="008B1B29" w:rsidRDefault="00785570" w:rsidP="000F122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>План-график закупок на 2021 утвержден с нарушением установленного срока</w:t>
            </w:r>
          </w:p>
        </w:tc>
        <w:tc>
          <w:tcPr>
            <w:tcW w:w="1559" w:type="dxa"/>
            <w:vAlign w:val="center"/>
          </w:tcPr>
          <w:p w14:paraId="73E56412" w14:textId="77777777" w:rsidR="00785570" w:rsidRPr="008B1B29" w:rsidRDefault="00785570" w:rsidP="000F122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23CFD4D" w14:textId="77777777" w:rsidR="00785570" w:rsidRPr="000E7945" w:rsidRDefault="00785570" w:rsidP="000F122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E7945">
              <w:rPr>
                <w:sz w:val="24"/>
                <w:szCs w:val="24"/>
              </w:rPr>
              <w:t>Ч. 4 ст. 7.29.3</w:t>
            </w:r>
            <w:r w:rsidRPr="000E7945">
              <w:t xml:space="preserve"> </w:t>
            </w:r>
            <w:r w:rsidRPr="000E7945">
              <w:rPr>
                <w:sz w:val="24"/>
                <w:szCs w:val="24"/>
              </w:rPr>
              <w:t>КоАП РФ</w:t>
            </w:r>
            <w:r>
              <w:rPr>
                <w:sz w:val="24"/>
                <w:szCs w:val="24"/>
              </w:rPr>
              <w:t xml:space="preserve"> (срок давности истек)</w:t>
            </w:r>
            <w:r w:rsidRPr="000E7945">
              <w:rPr>
                <w:sz w:val="24"/>
                <w:szCs w:val="24"/>
              </w:rPr>
              <w:t xml:space="preserve"> </w:t>
            </w:r>
          </w:p>
        </w:tc>
      </w:tr>
      <w:tr w:rsidR="00785570" w:rsidRPr="00772C5D" w14:paraId="746400D5" w14:textId="77777777" w:rsidTr="000F1223">
        <w:trPr>
          <w:cantSplit/>
          <w:trHeight w:val="1740"/>
        </w:trPr>
        <w:tc>
          <w:tcPr>
            <w:tcW w:w="567" w:type="dxa"/>
            <w:vAlign w:val="center"/>
          </w:tcPr>
          <w:p w14:paraId="5CD5DFB3" w14:textId="77777777" w:rsidR="00785570" w:rsidRPr="008B1B29" w:rsidRDefault="00785570" w:rsidP="000F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13F3BDA8" w14:textId="77777777" w:rsidR="00785570" w:rsidRPr="008B1B29" w:rsidRDefault="00785570" w:rsidP="000F122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B1B29">
              <w:rPr>
                <w:sz w:val="24"/>
                <w:szCs w:val="24"/>
              </w:rPr>
              <w:t xml:space="preserve">. 15 Порядка предоставления государственным учреждением, ее размещения на официальном сайте в сети интернет, утвержденного приказом </w:t>
            </w:r>
            <w:r>
              <w:rPr>
                <w:sz w:val="24"/>
                <w:szCs w:val="24"/>
              </w:rPr>
              <w:t xml:space="preserve">Минфина </w:t>
            </w:r>
            <w:proofErr w:type="spellStart"/>
            <w:r>
              <w:rPr>
                <w:sz w:val="24"/>
                <w:szCs w:val="24"/>
              </w:rPr>
              <w:t>РФ</w:t>
            </w:r>
            <w:r w:rsidRPr="008B1B29">
              <w:rPr>
                <w:sz w:val="24"/>
                <w:szCs w:val="24"/>
              </w:rPr>
              <w:t>от</w:t>
            </w:r>
            <w:proofErr w:type="spellEnd"/>
            <w:r w:rsidRPr="008B1B29">
              <w:rPr>
                <w:sz w:val="24"/>
                <w:szCs w:val="24"/>
              </w:rPr>
              <w:t xml:space="preserve"> 21.07.2011 № 86н</w:t>
            </w:r>
          </w:p>
        </w:tc>
        <w:tc>
          <w:tcPr>
            <w:tcW w:w="4536" w:type="dxa"/>
            <w:vAlign w:val="center"/>
          </w:tcPr>
          <w:p w14:paraId="08BF9187" w14:textId="77777777" w:rsidR="00785570" w:rsidRPr="008B1B29" w:rsidRDefault="00785570" w:rsidP="000F122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 xml:space="preserve">Нарушен срок размещения </w:t>
            </w:r>
            <w:r>
              <w:rPr>
                <w:sz w:val="24"/>
                <w:szCs w:val="24"/>
              </w:rPr>
              <w:t>У</w:t>
            </w:r>
            <w:r w:rsidRPr="008B1B29">
              <w:rPr>
                <w:sz w:val="24"/>
                <w:szCs w:val="24"/>
              </w:rPr>
              <w:t>става учреждения</w:t>
            </w:r>
          </w:p>
        </w:tc>
        <w:tc>
          <w:tcPr>
            <w:tcW w:w="1559" w:type="dxa"/>
            <w:vAlign w:val="center"/>
          </w:tcPr>
          <w:p w14:paraId="383EA410" w14:textId="77777777" w:rsidR="00785570" w:rsidRPr="008B1B29" w:rsidRDefault="00785570" w:rsidP="000F122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628C03E" w14:textId="77777777" w:rsidR="00785570" w:rsidRPr="000E7945" w:rsidRDefault="00785570" w:rsidP="000F122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785570" w:rsidRPr="00772C5D" w14:paraId="337FCEC3" w14:textId="77777777" w:rsidTr="000F1223">
        <w:trPr>
          <w:cantSplit/>
          <w:trHeight w:val="1740"/>
        </w:trPr>
        <w:tc>
          <w:tcPr>
            <w:tcW w:w="567" w:type="dxa"/>
            <w:vAlign w:val="center"/>
          </w:tcPr>
          <w:p w14:paraId="3B80E450" w14:textId="77777777" w:rsidR="00785570" w:rsidRPr="008B1B29" w:rsidRDefault="00785570" w:rsidP="000F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5AC3B17E" w14:textId="77777777" w:rsidR="00785570" w:rsidRPr="008B1B29" w:rsidRDefault="00785570" w:rsidP="000F122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>П. 3 ч. 2 и ч. 5 ст. 16 № 44-ФЗ, п. 7, 10 Положения по плану-графику № 1279</w:t>
            </w:r>
          </w:p>
        </w:tc>
        <w:tc>
          <w:tcPr>
            <w:tcW w:w="4536" w:type="dxa"/>
            <w:vAlign w:val="center"/>
          </w:tcPr>
          <w:p w14:paraId="207D2636" w14:textId="77777777" w:rsidR="00785570" w:rsidRPr="008B1B29" w:rsidRDefault="00785570" w:rsidP="000F122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>Отражение в плане-графике закупок на 2020 год и 2021 год сумм, предусмотренных на осуществление закупок не в соответствии с Планом ФХД 2020 и Планом ФХД 2021</w:t>
            </w:r>
          </w:p>
        </w:tc>
        <w:tc>
          <w:tcPr>
            <w:tcW w:w="1559" w:type="dxa"/>
            <w:vAlign w:val="center"/>
          </w:tcPr>
          <w:p w14:paraId="7C2FAD9F" w14:textId="77777777" w:rsidR="00785570" w:rsidRPr="008B1B29" w:rsidRDefault="00785570" w:rsidP="000F122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C249BF4" w14:textId="77777777" w:rsidR="00785570" w:rsidRPr="00072239" w:rsidRDefault="00785570" w:rsidP="000F122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85570" w:rsidRPr="00772C5D" w14:paraId="65EF20FE" w14:textId="77777777" w:rsidTr="000F1223">
        <w:trPr>
          <w:cantSplit/>
          <w:trHeight w:val="792"/>
        </w:trPr>
        <w:tc>
          <w:tcPr>
            <w:tcW w:w="567" w:type="dxa"/>
            <w:vAlign w:val="center"/>
          </w:tcPr>
          <w:p w14:paraId="492BD0A0" w14:textId="77777777" w:rsidR="00785570" w:rsidRPr="008B1B29" w:rsidRDefault="00785570" w:rsidP="000F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30EF7666" w14:textId="77777777" w:rsidR="00785570" w:rsidRPr="008B1B29" w:rsidRDefault="00785570" w:rsidP="000F122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8B1B29">
              <w:rPr>
                <w:sz w:val="24"/>
                <w:szCs w:val="24"/>
              </w:rPr>
              <w:t xml:space="preserve"> 3.7.1, 3.12. Методических рекомендаций</w:t>
            </w:r>
          </w:p>
        </w:tc>
        <w:tc>
          <w:tcPr>
            <w:tcW w:w="4536" w:type="dxa"/>
            <w:vAlign w:val="center"/>
          </w:tcPr>
          <w:p w14:paraId="6D9DEC96" w14:textId="77777777" w:rsidR="00785570" w:rsidRPr="008B1B29" w:rsidRDefault="00785570" w:rsidP="000F1223">
            <w:pPr>
              <w:tabs>
                <w:tab w:val="left" w:pos="567"/>
              </w:tabs>
              <w:rPr>
                <w:sz w:val="24"/>
                <w:szCs w:val="24"/>
                <w:shd w:val="clear" w:color="auto" w:fill="FFFFFF" w:themeFill="background1"/>
              </w:rPr>
            </w:pPr>
            <w:r w:rsidRPr="008B1B29">
              <w:rPr>
                <w:sz w:val="24"/>
                <w:szCs w:val="24"/>
              </w:rPr>
              <w:t>Не соблюдение рекомендаций по сбору ценовой информации</w:t>
            </w:r>
          </w:p>
        </w:tc>
        <w:tc>
          <w:tcPr>
            <w:tcW w:w="1559" w:type="dxa"/>
            <w:vAlign w:val="center"/>
          </w:tcPr>
          <w:p w14:paraId="5E8A25E9" w14:textId="77777777" w:rsidR="00785570" w:rsidRPr="008B1B29" w:rsidRDefault="00785570" w:rsidP="000F122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74DD3960" w14:textId="77777777" w:rsidR="00785570" w:rsidRPr="00B21606" w:rsidRDefault="00785570" w:rsidP="000F1223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785570" w:rsidRPr="00772C5D" w14:paraId="1F4A469C" w14:textId="77777777" w:rsidTr="000F1223">
        <w:trPr>
          <w:cantSplit/>
          <w:trHeight w:val="792"/>
        </w:trPr>
        <w:tc>
          <w:tcPr>
            <w:tcW w:w="567" w:type="dxa"/>
            <w:vAlign w:val="center"/>
          </w:tcPr>
          <w:p w14:paraId="21D199B3" w14:textId="77777777" w:rsidR="00785570" w:rsidRPr="008B1B29" w:rsidRDefault="00785570" w:rsidP="000F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14:paraId="01023150" w14:textId="77777777" w:rsidR="00785570" w:rsidRPr="008B1B29" w:rsidRDefault="00785570" w:rsidP="000F122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>Ч. 2 ст. 25 № 44-ФЗ</w:t>
            </w:r>
          </w:p>
        </w:tc>
        <w:tc>
          <w:tcPr>
            <w:tcW w:w="4536" w:type="dxa"/>
            <w:vAlign w:val="center"/>
          </w:tcPr>
          <w:p w14:paraId="4C2A6FE7" w14:textId="77777777" w:rsidR="00785570" w:rsidRPr="008B1B29" w:rsidRDefault="00785570" w:rsidP="000F122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  <w:shd w:val="clear" w:color="auto" w:fill="FFFFFF" w:themeFill="background1"/>
              </w:rPr>
              <w:t>Указание противоречивой информации в Соглашении о совместном конкурсе</w:t>
            </w:r>
          </w:p>
        </w:tc>
        <w:tc>
          <w:tcPr>
            <w:tcW w:w="1559" w:type="dxa"/>
            <w:vAlign w:val="center"/>
          </w:tcPr>
          <w:p w14:paraId="1313C059" w14:textId="77777777" w:rsidR="00785570" w:rsidRPr="008B1B29" w:rsidRDefault="00785570" w:rsidP="000F122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7C6C396" w14:textId="77777777" w:rsidR="00785570" w:rsidRPr="00725FEC" w:rsidRDefault="00785570" w:rsidP="000F12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85570" w:rsidRPr="00772C5D" w14:paraId="7B35D8F8" w14:textId="77777777" w:rsidTr="000F1223">
        <w:trPr>
          <w:cantSplit/>
          <w:trHeight w:val="792"/>
        </w:trPr>
        <w:tc>
          <w:tcPr>
            <w:tcW w:w="567" w:type="dxa"/>
            <w:vAlign w:val="center"/>
          </w:tcPr>
          <w:p w14:paraId="7F837E8C" w14:textId="77777777" w:rsidR="00785570" w:rsidRPr="008B1B29" w:rsidRDefault="00785570" w:rsidP="000F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14:paraId="729AC3AE" w14:textId="77777777" w:rsidR="00785570" w:rsidRPr="008B1B29" w:rsidRDefault="00785570" w:rsidP="000F122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 xml:space="preserve">П. 3 </w:t>
            </w:r>
            <w:r>
              <w:rPr>
                <w:sz w:val="24"/>
                <w:szCs w:val="24"/>
              </w:rPr>
              <w:t>П</w:t>
            </w:r>
            <w:r w:rsidRPr="008B1B29">
              <w:rPr>
                <w:sz w:val="24"/>
                <w:szCs w:val="24"/>
              </w:rPr>
              <w:t xml:space="preserve">равил подготовки </w:t>
            </w:r>
            <w:r>
              <w:rPr>
                <w:sz w:val="24"/>
                <w:szCs w:val="24"/>
              </w:rPr>
              <w:t>О</w:t>
            </w:r>
            <w:r w:rsidRPr="008B1B29">
              <w:rPr>
                <w:sz w:val="24"/>
                <w:szCs w:val="24"/>
              </w:rPr>
              <w:t>тчета об объеме закупок у СМП и СОНО</w:t>
            </w:r>
          </w:p>
        </w:tc>
        <w:tc>
          <w:tcPr>
            <w:tcW w:w="4536" w:type="dxa"/>
            <w:vAlign w:val="center"/>
          </w:tcPr>
          <w:p w14:paraId="3651F01C" w14:textId="77777777" w:rsidR="00785570" w:rsidRPr="008B1B29" w:rsidRDefault="00785570" w:rsidP="000F1223">
            <w:pPr>
              <w:tabs>
                <w:tab w:val="left" w:pos="567"/>
              </w:tabs>
              <w:rPr>
                <w:sz w:val="24"/>
                <w:szCs w:val="24"/>
                <w:shd w:val="clear" w:color="auto" w:fill="FFFFFF" w:themeFill="background1"/>
              </w:rPr>
            </w:pPr>
            <w:r w:rsidRPr="008B1B29">
              <w:rPr>
                <w:sz w:val="24"/>
                <w:szCs w:val="24"/>
                <w:shd w:val="clear" w:color="auto" w:fill="FFFFFF" w:themeFill="background1"/>
              </w:rPr>
              <w:t>В разделе II «Информация об объеме закупок у субъектов малого предпринимательства и социально ориентированных некоммерческих организаций, о несостоявшемся определении поставщиков (подрядчиков, исполнителей) с участием субъектов малого предпринимательства и социально ориентированных некоммерческих организаций» не верно отражена величина показателей.</w:t>
            </w:r>
          </w:p>
        </w:tc>
        <w:tc>
          <w:tcPr>
            <w:tcW w:w="1559" w:type="dxa"/>
            <w:vAlign w:val="center"/>
          </w:tcPr>
          <w:p w14:paraId="00752C6E" w14:textId="77777777" w:rsidR="00785570" w:rsidRPr="008B1B29" w:rsidRDefault="00785570" w:rsidP="000F122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B1B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A362BAA" w14:textId="77777777" w:rsidR="00785570" w:rsidRPr="00725FEC" w:rsidRDefault="00785570" w:rsidP="000F122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60653E36" w14:textId="77777777" w:rsidR="0054790F" w:rsidRDefault="0054790F" w:rsidP="009132FE">
      <w:pPr>
        <w:rPr>
          <w:b/>
          <w:sz w:val="24"/>
          <w:szCs w:val="24"/>
        </w:rPr>
      </w:pPr>
    </w:p>
    <w:p w14:paraId="07F70502" w14:textId="6132782B"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943DFF" w:rsidRPr="00943DFF">
        <w:rPr>
          <w:sz w:val="24"/>
          <w:szCs w:val="24"/>
        </w:rPr>
        <w:t>МБОУ «</w:t>
      </w:r>
      <w:r w:rsidR="00785570" w:rsidRPr="007C2395">
        <w:rPr>
          <w:sz w:val="24"/>
          <w:szCs w:val="24"/>
        </w:rPr>
        <w:t>Космодемьянская СОШ</w:t>
      </w:r>
      <w:r w:rsidR="00785570" w:rsidRPr="007C2395">
        <w:rPr>
          <w:sz w:val="24"/>
          <w:szCs w:val="24"/>
        </w:rPr>
        <w:t>»</w:t>
      </w:r>
      <w:r w:rsidR="007C2395" w:rsidRPr="007C2395">
        <w:rPr>
          <w:sz w:val="24"/>
          <w:szCs w:val="24"/>
        </w:rPr>
        <w:t xml:space="preserve"> </w:t>
      </w:r>
      <w:r w:rsidR="007C2395">
        <w:rPr>
          <w:sz w:val="24"/>
          <w:szCs w:val="24"/>
        </w:rPr>
        <w:t xml:space="preserve">выдано предписание, а также, </w:t>
      </w:r>
      <w:r w:rsidR="007C2395" w:rsidRPr="001101B6">
        <w:rPr>
          <w:sz w:val="24"/>
          <w:szCs w:val="24"/>
        </w:rPr>
        <w:t>даны разъяснения и рекомендации</w:t>
      </w:r>
      <w:r w:rsidR="007C2395">
        <w:rPr>
          <w:sz w:val="24"/>
          <w:szCs w:val="24"/>
        </w:rPr>
        <w:t>.</w:t>
      </w:r>
    </w:p>
    <w:p w14:paraId="2A87C07F" w14:textId="77777777" w:rsidR="00FA6F97" w:rsidRDefault="00FA6F97" w:rsidP="00FA6F97">
      <w:pPr>
        <w:rPr>
          <w:sz w:val="24"/>
          <w:szCs w:val="24"/>
        </w:rPr>
      </w:pPr>
    </w:p>
    <w:p w14:paraId="34F08667" w14:textId="77777777" w:rsidR="00FA6F97" w:rsidRDefault="00FA6F97" w:rsidP="00FA6F97">
      <w:pPr>
        <w:rPr>
          <w:sz w:val="24"/>
          <w:szCs w:val="24"/>
        </w:rPr>
      </w:pPr>
    </w:p>
    <w:p w14:paraId="0A60F516" w14:textId="77777777"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14:paraId="44A71466" w14:textId="4DF7AB19"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90F">
        <w:rPr>
          <w:sz w:val="24"/>
          <w:szCs w:val="24"/>
        </w:rPr>
        <w:t>В.Б. Буздина</w:t>
      </w:r>
    </w:p>
    <w:p w14:paraId="58C66ADD" w14:textId="77777777"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14:paraId="4EFE8A02" w14:textId="4F6CB36B"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82BEFC8" w14:textId="689A9250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CEBEBEB" w14:textId="51C65C94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1DA7B2C" w14:textId="75B425EA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B1F8788" w14:textId="239F3A42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E8AC541" w14:textId="1CBE08D6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165B263" w14:textId="75796617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D4E704C" w14:textId="5536FBD5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9680D9F" w14:textId="67DF4E2C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CC6DDC6" w14:textId="7436F56E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B726A94" w14:textId="6F6FA613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9431FEA" w14:textId="0F2C14F9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92D5A71" w14:textId="4BF36D8D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54BEA585" w14:textId="30E0BD5A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8CCFDF6" w14:textId="2B379F29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FE1A4BD" w14:textId="5E79AD04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CF08975" w14:textId="52D61B21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709AF6B" w14:textId="77777777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60153E2" w14:textId="77777777"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BFBC0D2" w14:textId="231743DF" w:rsidR="00FA6F97" w:rsidRPr="00DB2AE1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>Солдатов Артем Вадимович</w:t>
      </w:r>
    </w:p>
    <w:p w14:paraId="14210937" w14:textId="77777777"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14:paraId="526B3D0D" w14:textId="77777777" w:rsidR="00FA6F97" w:rsidRPr="00DB2AE1" w:rsidRDefault="00F76979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консультант</w:t>
      </w:r>
    </w:p>
    <w:p w14:paraId="7711ECCB" w14:textId="77777777"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C778" w14:textId="77777777"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14:paraId="7B72BCDC" w14:textId="77777777"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161F" w14:textId="77777777"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14:paraId="5531BF8F" w14:textId="77777777"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331A5583" w14:textId="77777777" w:rsidR="00A950D3" w:rsidRDefault="00A950D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43DFF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975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26978"/>
    <w:rsid w:val="00165E83"/>
    <w:rsid w:val="00263EB6"/>
    <w:rsid w:val="00284EC2"/>
    <w:rsid w:val="002B604D"/>
    <w:rsid w:val="00356F9F"/>
    <w:rsid w:val="004734CC"/>
    <w:rsid w:val="0054790F"/>
    <w:rsid w:val="006277DE"/>
    <w:rsid w:val="006634BC"/>
    <w:rsid w:val="0068281E"/>
    <w:rsid w:val="00780943"/>
    <w:rsid w:val="00785570"/>
    <w:rsid w:val="007C2395"/>
    <w:rsid w:val="00866455"/>
    <w:rsid w:val="009132FE"/>
    <w:rsid w:val="00943DFF"/>
    <w:rsid w:val="00A13585"/>
    <w:rsid w:val="00A65F51"/>
    <w:rsid w:val="00A950D3"/>
    <w:rsid w:val="00AD2043"/>
    <w:rsid w:val="00BA1564"/>
    <w:rsid w:val="00BC114B"/>
    <w:rsid w:val="00C4117F"/>
    <w:rsid w:val="00C635FC"/>
    <w:rsid w:val="00ED2A56"/>
    <w:rsid w:val="00EF02D4"/>
    <w:rsid w:val="00F76979"/>
    <w:rsid w:val="00FA6F97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131"/>
  <w15:docId w15:val="{9CE7E6D4-A8F9-49BC-9254-7E81A09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13</cp:revision>
  <dcterms:created xsi:type="dcterms:W3CDTF">2019-05-24T06:36:00Z</dcterms:created>
  <dcterms:modified xsi:type="dcterms:W3CDTF">2022-06-17T08:18:00Z</dcterms:modified>
</cp:coreProperties>
</file>