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6E" w:rsidRPr="003F5AE9" w:rsidRDefault="0006066E" w:rsidP="0006066E"/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Calibri"/>
          <w:b/>
        </w:rPr>
      </w:pPr>
      <w:r w:rsidRPr="003F5AE9">
        <w:rPr>
          <w:rFonts w:eastAsia="Calibri"/>
          <w:b/>
        </w:rPr>
        <w:t xml:space="preserve">УВЕДОМЛЕНИЕ 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</w:rPr>
      </w:pPr>
      <w:r w:rsidRPr="003F5AE9">
        <w:rPr>
          <w:b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0E42C5" w:rsidRDefault="0006066E" w:rsidP="000E42C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u w:val="single"/>
        </w:rPr>
      </w:pPr>
      <w:r>
        <w:rPr>
          <w:rFonts w:eastAsia="Calibri"/>
        </w:rPr>
        <w:t xml:space="preserve">Настоящим </w:t>
      </w:r>
      <w:r>
        <w:rPr>
          <w:rFonts w:eastAsia="Calibri"/>
          <w:u w:val="single"/>
        </w:rPr>
        <w:t>Отдел развития предпринимательства</w:t>
      </w:r>
      <w:r w:rsidR="0074156A">
        <w:rPr>
          <w:rFonts w:eastAsia="Calibri"/>
          <w:u w:val="single"/>
        </w:rPr>
        <w:t xml:space="preserve"> управления экономического развития и </w:t>
      </w:r>
      <w:proofErr w:type="gramStart"/>
      <w:r w:rsidR="0074156A">
        <w:rPr>
          <w:rFonts w:eastAsia="Calibri"/>
          <w:u w:val="single"/>
        </w:rPr>
        <w:t xml:space="preserve">АПК </w:t>
      </w:r>
      <w:r>
        <w:rPr>
          <w:rFonts w:eastAsia="Calibri"/>
          <w:u w:val="single"/>
        </w:rPr>
        <w:t xml:space="preserve"> админист</w:t>
      </w:r>
      <w:r w:rsidR="000E42C5">
        <w:rPr>
          <w:rFonts w:eastAsia="Calibri"/>
          <w:u w:val="single"/>
        </w:rPr>
        <w:t>рации</w:t>
      </w:r>
      <w:proofErr w:type="gramEnd"/>
      <w:r w:rsidR="000E42C5">
        <w:rPr>
          <w:rFonts w:eastAsia="Calibri"/>
          <w:u w:val="single"/>
        </w:rPr>
        <w:t xml:space="preserve"> Рузского городского округ</w:t>
      </w:r>
      <w:r w:rsidR="0074156A">
        <w:rPr>
          <w:rFonts w:eastAsia="Calibri"/>
          <w:u w:val="single"/>
        </w:rPr>
        <w:t>а</w:t>
      </w:r>
    </w:p>
    <w:p w:rsidR="000E42C5" w:rsidRDefault="000E42C5" w:rsidP="000E42C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u w:val="single"/>
        </w:rPr>
      </w:pPr>
    </w:p>
    <w:p w:rsidR="0006066E" w:rsidRPr="000E42C5" w:rsidRDefault="0006066E" w:rsidP="000E42C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u w:val="single"/>
        </w:rPr>
      </w:pPr>
      <w:r w:rsidRPr="003F5AE9">
        <w:rPr>
          <w:rFonts w:eastAsia="Calibri"/>
        </w:rPr>
        <w:t>извещает о начале обсуждения проекта муниципального НПА,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>Предложения принимаются по адресу:</w:t>
      </w:r>
    </w:p>
    <w:p w:rsidR="0006066E" w:rsidRPr="0006066E" w:rsidRDefault="0006066E" w:rsidP="0006066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143100, Московская области, г. Руза, ул. Солнцева, д. 11, </w:t>
      </w:r>
      <w:proofErr w:type="spellStart"/>
      <w:r>
        <w:t>каб</w:t>
      </w:r>
      <w:proofErr w:type="spellEnd"/>
      <w:r>
        <w:t>. 411</w:t>
      </w:r>
      <w:r w:rsidRPr="003F5AE9">
        <w:t xml:space="preserve">, а также по адресу электронной почты: </w:t>
      </w:r>
      <w:hyperlink r:id="rId4" w:history="1">
        <w:r w:rsidRPr="00282D45">
          <w:rPr>
            <w:rStyle w:val="a3"/>
            <w:lang w:val="en-US"/>
          </w:rPr>
          <w:t>opirmr</w:t>
        </w:r>
        <w:r w:rsidRPr="0006066E">
          <w:rPr>
            <w:rStyle w:val="a3"/>
          </w:rPr>
          <w:t>@</w:t>
        </w:r>
        <w:r w:rsidRPr="00282D45">
          <w:rPr>
            <w:rStyle w:val="a3"/>
            <w:lang w:val="en-US"/>
          </w:rPr>
          <w:t>mail</w:t>
        </w:r>
        <w:r w:rsidRPr="0006066E">
          <w:rPr>
            <w:rStyle w:val="a3"/>
          </w:rPr>
          <w:t>.</w:t>
        </w:r>
        <w:proofErr w:type="spellStart"/>
        <w:r w:rsidRPr="00282D45">
          <w:rPr>
            <w:rStyle w:val="a3"/>
            <w:lang w:val="en-US"/>
          </w:rPr>
          <w:t>ru</w:t>
        </w:r>
        <w:proofErr w:type="spellEnd"/>
      </w:hyperlink>
      <w:r w:rsidRPr="0006066E">
        <w:t xml:space="preserve"> 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Контактное лицо по вопросам, обсуждаемым в ходе проведения публичных консультаций: </w:t>
      </w:r>
      <w:proofErr w:type="spellStart"/>
      <w:r>
        <w:t>Стройкова</w:t>
      </w:r>
      <w:proofErr w:type="spellEnd"/>
      <w:r>
        <w:t xml:space="preserve"> Евгения Вячеславовна, старший инспектор отдела развития предпринимательства управления экономического развития и АПК администрации Рузского городского округа,</w:t>
      </w:r>
      <w:r w:rsidR="00D1526D">
        <w:br/>
      </w:r>
      <w:r>
        <w:t>тел.: 8 (496) 27-24-131, понедельник - четверг с 08:45 до 18:00, пятница с 08:45 до 16:45</w:t>
      </w:r>
      <w:r w:rsidRPr="003F5AE9">
        <w:t>.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Сроки приема предложений: </w:t>
      </w:r>
      <w:r w:rsidRPr="0006066E">
        <w:rPr>
          <w:b/>
        </w:rPr>
        <w:t xml:space="preserve">с </w:t>
      </w:r>
      <w:r w:rsidR="000912F1">
        <w:rPr>
          <w:b/>
        </w:rPr>
        <w:t>12</w:t>
      </w:r>
      <w:r w:rsidRPr="0006066E">
        <w:rPr>
          <w:b/>
        </w:rPr>
        <w:t>.0</w:t>
      </w:r>
      <w:r w:rsidR="000912F1">
        <w:rPr>
          <w:b/>
        </w:rPr>
        <w:t>9</w:t>
      </w:r>
      <w:r w:rsidRPr="0006066E">
        <w:rPr>
          <w:b/>
        </w:rPr>
        <w:t xml:space="preserve">.2017 по </w:t>
      </w:r>
      <w:r w:rsidR="000912F1">
        <w:rPr>
          <w:b/>
        </w:rPr>
        <w:t>21</w:t>
      </w:r>
      <w:r w:rsidRPr="0006066E">
        <w:rPr>
          <w:b/>
        </w:rPr>
        <w:t>.09.2017</w:t>
      </w:r>
      <w:r w:rsidRPr="003F5AE9">
        <w:t>.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Место размещения уведомления об обсуждении проекта муниципального НПА,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Pr="0006066E">
        <w:t xml:space="preserve"> </w:t>
      </w:r>
      <w:hyperlink r:id="rId5" w:history="1">
        <w:r w:rsidR="000912F1" w:rsidRPr="00282D45">
          <w:rPr>
            <w:rStyle w:val="a3"/>
          </w:rPr>
          <w:t>http://www.ruzaregion.ru</w:t>
        </w:r>
      </w:hyperlink>
      <w:r w:rsidR="000912F1">
        <w:t xml:space="preserve"> (подраздел «Оценка регулирующего воздействия» раздела «Документы»)</w:t>
      </w:r>
      <w:r>
        <w:t xml:space="preserve"> 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t>Все поступившие предложения будут рассмотрены</w:t>
      </w:r>
      <w:r w:rsidRPr="003F5AE9">
        <w:rPr>
          <w:rFonts w:eastAsia="Calibri"/>
        </w:rPr>
        <w:t>.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 xml:space="preserve">Сводка предложений, поступивших по результатам публичных консультаций, будет размещена на сайте </w:t>
      </w:r>
      <w:hyperlink r:id="rId6" w:history="1">
        <w:r w:rsidRPr="00282D45">
          <w:rPr>
            <w:rStyle w:val="a3"/>
            <w:rFonts w:eastAsia="Calibri"/>
          </w:rPr>
          <w:t>http://www.ruzaregion.ru</w:t>
        </w:r>
      </w:hyperlink>
      <w:r>
        <w:rPr>
          <w:rFonts w:eastAsia="Calibri"/>
        </w:rPr>
        <w:t xml:space="preserve"> </w:t>
      </w:r>
      <w:r w:rsidR="000912F1">
        <w:rPr>
          <w:rFonts w:eastAsia="Calibri"/>
        </w:rPr>
        <w:t xml:space="preserve">(подраздел «Оценка регулирующего воздействия» раздела «Документы») </w:t>
      </w:r>
      <w:r w:rsidRPr="003F5AE9">
        <w:rPr>
          <w:rFonts w:eastAsia="Calibri"/>
        </w:rPr>
        <w:t xml:space="preserve">не позднее </w:t>
      </w:r>
      <w:r w:rsidR="0074156A">
        <w:rPr>
          <w:rFonts w:eastAsia="Calibri"/>
          <w:b/>
        </w:rPr>
        <w:t>25</w:t>
      </w:r>
      <w:r w:rsidRPr="0006066E">
        <w:rPr>
          <w:rFonts w:eastAsia="Calibri"/>
          <w:b/>
        </w:rPr>
        <w:t xml:space="preserve"> сентября 2017</w:t>
      </w:r>
      <w:r w:rsidRPr="003F5AE9">
        <w:rPr>
          <w:rFonts w:eastAsia="Calibri"/>
        </w:rPr>
        <w:t>.</w:t>
      </w:r>
    </w:p>
    <w:p w:rsidR="0006066E" w:rsidRPr="003F5AE9" w:rsidRDefault="000912F1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                              </w:t>
      </w:r>
      <w:r w:rsidR="0006066E">
        <w:rPr>
          <w:rFonts w:eastAsia="Calibri"/>
          <w:i/>
        </w:rPr>
        <w:t xml:space="preserve">                    </w:t>
      </w:r>
      <w:r w:rsidR="0006066E" w:rsidRPr="003F5AE9">
        <w:rPr>
          <w:rFonts w:eastAsia="Calibri"/>
          <w:i/>
        </w:rPr>
        <w:t xml:space="preserve"> </w:t>
      </w:r>
      <w:r w:rsidR="0006066E" w:rsidRPr="003F5AE9">
        <w:rPr>
          <w:rFonts w:eastAsia="Calibri"/>
          <w:i/>
          <w:vertAlign w:val="superscript"/>
        </w:rPr>
        <w:t>(число, месяц, год)</w:t>
      </w:r>
    </w:p>
    <w:p w:rsidR="0006066E" w:rsidRPr="003F5AE9" w:rsidRDefault="0006066E" w:rsidP="0006066E">
      <w:pPr>
        <w:widowControl w:val="0"/>
        <w:spacing w:line="276" w:lineRule="auto"/>
        <w:ind w:firstLine="709"/>
        <w:contextualSpacing/>
        <w:jc w:val="both"/>
        <w:rPr>
          <w:rFonts w:eastAsia="Calibri"/>
        </w:rPr>
      </w:pPr>
      <w:r w:rsidRPr="003F5AE9">
        <w:rPr>
          <w:rFonts w:eastAsia="Calibri"/>
        </w:rPr>
        <w:t>1. Вид и рабочее наименование муниципального НПА,</w:t>
      </w:r>
      <w:r w:rsidRPr="003F5AE9">
        <w:rPr>
          <w:rFonts w:eastAsia="Calibri"/>
          <w:b/>
        </w:rPr>
        <w:t xml:space="preserve"> </w:t>
      </w:r>
      <w:r w:rsidRPr="003F5AE9">
        <w:rPr>
          <w:rFonts w:eastAsia="Calibri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06066E" w:rsidRPr="00DF0AC1" w:rsidRDefault="00DF0AC1" w:rsidP="0006066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DF0AC1">
        <w:rPr>
          <w:b/>
        </w:rPr>
        <w:t xml:space="preserve">Постановление Главы Рузского городского округа «Об утверждении Положения о </w:t>
      </w:r>
      <w:r w:rsidR="0074156A">
        <w:rPr>
          <w:b/>
        </w:rPr>
        <w:t xml:space="preserve">проведении открытого аукциона на право размещения </w:t>
      </w:r>
      <w:r w:rsidRPr="00DF0AC1">
        <w:rPr>
          <w:b/>
        </w:rPr>
        <w:t>нестационарных торговых объектов на территории Рузского городского округа Московской области»</w:t>
      </w:r>
      <w:r w:rsidR="0006066E" w:rsidRPr="00DF0AC1">
        <w:rPr>
          <w:b/>
        </w:rPr>
        <w:t>.</w:t>
      </w:r>
    </w:p>
    <w:p w:rsidR="0006066E" w:rsidRPr="003F5AE9" w:rsidRDefault="0006066E" w:rsidP="0006066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2. Описание проблемы, на решение которой направлено предлагаемое проектом муниципального НПА правовое регулирование:</w:t>
      </w:r>
    </w:p>
    <w:p w:rsidR="003626AC" w:rsidRDefault="0074156A" w:rsidP="0006066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rPr>
          <w:color w:val="242424"/>
        </w:rPr>
        <w:t>- устранение незаконно размещенных нестационарных торговых объектов на территории Рузского городского округа Московской области</w:t>
      </w:r>
    </w:p>
    <w:p w:rsidR="0006066E" w:rsidRPr="003F5AE9" w:rsidRDefault="0006066E" w:rsidP="003626A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3. Цели предлагаемого проектом муниципальным НПА правового регулирования:</w:t>
      </w:r>
    </w:p>
    <w:p w:rsidR="003626AC" w:rsidRPr="003626AC" w:rsidRDefault="003626AC" w:rsidP="003626AC">
      <w:pPr>
        <w:tabs>
          <w:tab w:val="left" w:pos="284"/>
        </w:tabs>
        <w:spacing w:after="150" w:line="238" w:lineRule="atLeast"/>
        <w:ind w:left="709"/>
        <w:jc w:val="both"/>
        <w:rPr>
          <w:color w:val="242424"/>
        </w:rPr>
      </w:pPr>
      <w:r w:rsidRPr="003626AC">
        <w:rPr>
          <w:color w:val="242424"/>
        </w:rPr>
        <w:t xml:space="preserve">- формирование единых правил размещения нестационарных торговых объектов на территории </w:t>
      </w:r>
      <w:r>
        <w:rPr>
          <w:color w:val="242424"/>
        </w:rPr>
        <w:t>Рузского городского округа.</w:t>
      </w:r>
    </w:p>
    <w:p w:rsidR="0006066E" w:rsidRPr="003F5AE9" w:rsidRDefault="0006066E" w:rsidP="0006066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4. Д</w:t>
      </w:r>
      <w:r w:rsidRPr="003F5AE9">
        <w:rPr>
          <w:color w:val="000000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3F5AE9">
        <w:t>:</w:t>
      </w:r>
    </w:p>
    <w:p w:rsidR="00976B6A" w:rsidRPr="00976B6A" w:rsidRDefault="00976B6A" w:rsidP="00976B6A">
      <w:pPr>
        <w:spacing w:after="150" w:line="238" w:lineRule="atLeast"/>
        <w:ind w:firstLine="993"/>
        <w:jc w:val="both"/>
        <w:rPr>
          <w:color w:val="242424"/>
          <w:szCs w:val="20"/>
        </w:rPr>
      </w:pPr>
      <w:r w:rsidRPr="00976B6A">
        <w:rPr>
          <w:color w:val="242424"/>
          <w:szCs w:val="20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976B6A" w:rsidRPr="00976B6A" w:rsidRDefault="00976B6A" w:rsidP="00976B6A">
      <w:pPr>
        <w:spacing w:after="150" w:line="238" w:lineRule="atLeast"/>
        <w:ind w:firstLine="709"/>
        <w:jc w:val="both"/>
        <w:rPr>
          <w:color w:val="242424"/>
        </w:rPr>
      </w:pPr>
      <w:r w:rsidRPr="00976B6A">
        <w:rPr>
          <w:color w:val="242424"/>
        </w:rPr>
        <w:t>2) 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976B6A" w:rsidRDefault="00976B6A" w:rsidP="00976B6A">
      <w:pPr>
        <w:spacing w:after="150" w:line="238" w:lineRule="atLeast"/>
        <w:ind w:firstLine="709"/>
        <w:jc w:val="both"/>
        <w:rPr>
          <w:rFonts w:eastAsia="Calibri"/>
        </w:rPr>
      </w:pPr>
      <w:r w:rsidRPr="00976B6A">
        <w:rPr>
          <w:color w:val="242424"/>
        </w:rPr>
        <w:lastRenderedPageBreak/>
        <w:t xml:space="preserve">3) </w:t>
      </w:r>
      <w:r>
        <w:rPr>
          <w:rFonts w:eastAsia="Calibri"/>
        </w:rPr>
        <w:t>Федеральный</w:t>
      </w:r>
      <w:r w:rsidRPr="00976B6A">
        <w:rPr>
          <w:rFonts w:eastAsia="Calibri"/>
        </w:rPr>
        <w:t xml:space="preserve"> </w:t>
      </w:r>
      <w:hyperlink r:id="rId7" w:history="1">
        <w:r w:rsidRPr="00976B6A">
          <w:rPr>
            <w:rFonts w:eastAsia="Calibri"/>
          </w:rPr>
          <w:t>закон</w:t>
        </w:r>
      </w:hyperlink>
      <w:r w:rsidRPr="00976B6A">
        <w:rPr>
          <w:rFonts w:eastAsia="Calibri"/>
        </w:rPr>
        <w:t xml:space="preserve"> от 26.07.2006</w:t>
      </w:r>
      <w:r>
        <w:rPr>
          <w:rFonts w:eastAsia="Calibri"/>
        </w:rPr>
        <w:t xml:space="preserve"> № 135-ФЗ «О защите конкуренции»;</w:t>
      </w:r>
    </w:p>
    <w:p w:rsidR="00976B6A" w:rsidRDefault="00976B6A" w:rsidP="00976B6A">
      <w:pPr>
        <w:spacing w:after="150" w:line="238" w:lineRule="atLeast"/>
        <w:ind w:firstLine="709"/>
        <w:jc w:val="both"/>
        <w:rPr>
          <w:rFonts w:eastAsia="Calibri"/>
          <w:szCs w:val="28"/>
        </w:rPr>
      </w:pPr>
      <w:r>
        <w:rPr>
          <w:rFonts w:eastAsia="Calibri"/>
        </w:rPr>
        <w:t xml:space="preserve">4) Распоряжение </w:t>
      </w:r>
      <w:r w:rsidRPr="00976B6A">
        <w:rPr>
          <w:rFonts w:eastAsia="Calibri"/>
          <w:szCs w:val="28"/>
        </w:rPr>
        <w:t xml:space="preserve">Министерства потребительского рынка и услуг Московской области от 27.12.2012 </w:t>
      </w:r>
      <w:hyperlink r:id="rId8" w:history="1">
        <w:r w:rsidRPr="00976B6A">
          <w:rPr>
            <w:rFonts w:eastAsia="Calibri"/>
            <w:szCs w:val="28"/>
          </w:rPr>
          <w:t>№ 32-Р</w:t>
        </w:r>
      </w:hyperlink>
      <w:r w:rsidRPr="00976B6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Pr="00976B6A">
        <w:rPr>
          <w:rFonts w:eastAsia="Calibri"/>
          <w:szCs w:val="28"/>
        </w:rPr>
        <w:t>Об утверждении Порядка разработки и утверждения органами местного самоуправления муниципальных образований Московской области схем размещения н</w:t>
      </w:r>
      <w:r>
        <w:rPr>
          <w:rFonts w:eastAsia="Calibri"/>
          <w:szCs w:val="28"/>
        </w:rPr>
        <w:t>естационарных торговых объектов»;</w:t>
      </w:r>
    </w:p>
    <w:p w:rsidR="00976B6A" w:rsidRPr="00976B6A" w:rsidRDefault="00976B6A" w:rsidP="00976B6A">
      <w:pPr>
        <w:spacing w:after="150" w:line="238" w:lineRule="atLeast"/>
        <w:ind w:firstLine="709"/>
        <w:jc w:val="both"/>
        <w:rPr>
          <w:color w:val="242424"/>
        </w:rPr>
      </w:pPr>
      <w:r>
        <w:rPr>
          <w:rFonts w:eastAsia="Calibri"/>
          <w:szCs w:val="28"/>
        </w:rPr>
        <w:t xml:space="preserve">5) Распоряжение </w:t>
      </w:r>
      <w:r w:rsidRPr="00976B6A">
        <w:rPr>
          <w:rFonts w:eastAsia="Calibri"/>
          <w:szCs w:val="28"/>
        </w:rPr>
        <w:t xml:space="preserve">Министерства потребительского рынка и услуг Московской области </w:t>
      </w:r>
      <w:r w:rsidRPr="00976B6A">
        <w:rPr>
          <w:szCs w:val="28"/>
        </w:rPr>
        <w:t>от 02.06.2014 № 16РВ-34</w:t>
      </w:r>
      <w:r w:rsidRPr="00976B6A">
        <w:rPr>
          <w:rFonts w:eastAsia="Calibri"/>
          <w:szCs w:val="28"/>
        </w:rPr>
        <w:t xml:space="preserve"> "Об утверждении Методических рекомендаций по размещению нестационарных торговых объектов на территории муниципальных образований Московской области</w:t>
      </w:r>
      <w:r>
        <w:rPr>
          <w:rFonts w:eastAsia="Calibri"/>
          <w:szCs w:val="28"/>
        </w:rPr>
        <w:t>»</w:t>
      </w:r>
    </w:p>
    <w:p w:rsidR="0006066E" w:rsidRPr="00976B6A" w:rsidRDefault="0006066E" w:rsidP="004309B1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709"/>
        <w:jc w:val="both"/>
        <w:textAlignment w:val="baseline"/>
      </w:pPr>
      <w:r w:rsidRPr="003F5AE9">
        <w:t>5. Планируемый срок вступления в силу предлагаемого проекта муниципального НПА:</w:t>
      </w:r>
      <w:r w:rsidR="00976B6A">
        <w:t xml:space="preserve"> </w:t>
      </w:r>
      <w:r w:rsidR="00976B6A">
        <w:br/>
      </w:r>
      <w:r w:rsidR="0074156A">
        <w:rPr>
          <w:b/>
        </w:rPr>
        <w:t>с 27</w:t>
      </w:r>
      <w:bookmarkStart w:id="0" w:name="_GoBack"/>
      <w:bookmarkEnd w:id="0"/>
      <w:r w:rsidR="00976B6A" w:rsidRPr="00976B6A">
        <w:rPr>
          <w:b/>
        </w:rPr>
        <w:t>.09.2017</w:t>
      </w:r>
      <w:r w:rsidR="00976B6A">
        <w:rPr>
          <w:b/>
        </w:rPr>
        <w:t xml:space="preserve"> года.</w:t>
      </w:r>
    </w:p>
    <w:p w:rsidR="0006066E" w:rsidRPr="003F5AE9" w:rsidRDefault="0006066E" w:rsidP="004309B1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709"/>
        <w:jc w:val="both"/>
        <w:textAlignment w:val="baseline"/>
        <w:rPr>
          <w:i/>
          <w:vertAlign w:val="superscript"/>
        </w:rPr>
      </w:pPr>
      <w:r w:rsidRPr="003F5AE9">
        <w:t>6. Сведения о необходимости или отсутствии необходимости установления переходного периода:</w:t>
      </w:r>
      <w:r w:rsidR="00976B6A">
        <w:t xml:space="preserve"> отсутствуют.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>7. Возможные варианты решения проблемы и их сравнение.</w:t>
      </w:r>
    </w:p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727"/>
        <w:gridCol w:w="1559"/>
      </w:tblGrid>
      <w:tr w:rsidR="007C45EC" w:rsidRPr="003F5AE9" w:rsidTr="007C45EC">
        <w:trPr>
          <w:trHeight w:val="471"/>
        </w:trPr>
        <w:tc>
          <w:tcPr>
            <w:tcW w:w="5920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727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Вариант 1</w:t>
            </w:r>
          </w:p>
        </w:tc>
        <w:tc>
          <w:tcPr>
            <w:tcW w:w="1559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F5AE9">
              <w:t>Вариант 2</w:t>
            </w:r>
          </w:p>
        </w:tc>
      </w:tr>
      <w:tr w:rsidR="007C45EC" w:rsidRPr="003F5AE9" w:rsidTr="007C45EC">
        <w:trPr>
          <w:trHeight w:val="491"/>
        </w:trPr>
        <w:tc>
          <w:tcPr>
            <w:tcW w:w="5920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7.1. Содержание варианта решения выявленной проблемы</w:t>
            </w:r>
          </w:p>
        </w:tc>
        <w:tc>
          <w:tcPr>
            <w:tcW w:w="2727" w:type="dxa"/>
          </w:tcPr>
          <w:p w:rsidR="007C45EC" w:rsidRPr="007C45EC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45EC">
              <w:rPr>
                <w:color w:val="242424"/>
                <w:sz w:val="20"/>
                <w:szCs w:val="20"/>
              </w:rPr>
              <w:t>Упорядочение размещения НТО</w:t>
            </w:r>
          </w:p>
        </w:tc>
        <w:tc>
          <w:tcPr>
            <w:tcW w:w="1559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C45EC" w:rsidRPr="003F5AE9" w:rsidTr="007C45EC">
        <w:trPr>
          <w:trHeight w:val="850"/>
        </w:trPr>
        <w:tc>
          <w:tcPr>
            <w:tcW w:w="5920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7.2. Качественная характеристика и оценка динамики численности потенциальных адресатов предлагаемого проекта муниципального НПА в среднесрочном периоде (1-3 года)</w:t>
            </w:r>
          </w:p>
        </w:tc>
        <w:tc>
          <w:tcPr>
            <w:tcW w:w="2727" w:type="dxa"/>
          </w:tcPr>
          <w:p w:rsidR="007C45EC" w:rsidRPr="007C45EC" w:rsidRDefault="007C45EC" w:rsidP="007C45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7C45EC">
              <w:rPr>
                <w:color w:val="242424"/>
                <w:sz w:val="20"/>
                <w:szCs w:val="20"/>
              </w:rPr>
              <w:t>Потенциальные адресаты предполагаемого правового регулирования: индивидуальные предприниматели и юридические лица, зарегистрированные в установленном законодательством Российской Федерации порядке</w:t>
            </w:r>
          </w:p>
        </w:tc>
        <w:tc>
          <w:tcPr>
            <w:tcW w:w="1559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C45EC" w:rsidRPr="003F5AE9" w:rsidTr="007C45EC">
        <w:trPr>
          <w:trHeight w:val="850"/>
        </w:trPr>
        <w:tc>
          <w:tcPr>
            <w:tcW w:w="5920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 xml:space="preserve">7.3. Оценка дополнительных расходов (доходов) потенциальных адресатов предлагаемого проектом муниципального НПА правового регулирования, связанных с его введением </w:t>
            </w:r>
          </w:p>
        </w:tc>
        <w:tc>
          <w:tcPr>
            <w:tcW w:w="2727" w:type="dxa"/>
          </w:tcPr>
          <w:p w:rsidR="007C45EC" w:rsidRPr="007C45EC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45EC">
              <w:rPr>
                <w:color w:val="242424"/>
                <w:sz w:val="20"/>
                <w:szCs w:val="20"/>
              </w:rPr>
              <w:t>Не проводилась</w:t>
            </w:r>
          </w:p>
        </w:tc>
        <w:tc>
          <w:tcPr>
            <w:tcW w:w="1559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C45EC" w:rsidRPr="003F5AE9" w:rsidTr="007C45EC">
        <w:trPr>
          <w:trHeight w:val="849"/>
        </w:trPr>
        <w:tc>
          <w:tcPr>
            <w:tcW w:w="5920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7.4. Оценка расходов (доходов) бюджета Рузского муниципального района, связанных с введением предлагаемого проектом муниципального НПА правового регулирования</w:t>
            </w:r>
          </w:p>
        </w:tc>
        <w:tc>
          <w:tcPr>
            <w:tcW w:w="2727" w:type="dxa"/>
          </w:tcPr>
          <w:p w:rsidR="007C45EC" w:rsidRPr="007C45EC" w:rsidRDefault="007C45EC" w:rsidP="007C45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C45EC">
              <w:rPr>
                <w:sz w:val="20"/>
                <w:szCs w:val="20"/>
              </w:rPr>
              <w:t>Дополнительных расходов не планируется</w:t>
            </w:r>
            <w:r w:rsidRPr="007C45EC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C45EC" w:rsidRPr="003F5AE9" w:rsidTr="007C45EC">
        <w:trPr>
          <w:trHeight w:val="850"/>
        </w:trPr>
        <w:tc>
          <w:tcPr>
            <w:tcW w:w="5920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7.5. Оценка возможности достижения заявленных целей предлагаемого проектом муниципального НПА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727" w:type="dxa"/>
          </w:tcPr>
          <w:p w:rsidR="007C45EC" w:rsidRPr="007C45EC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45EC">
              <w:rPr>
                <w:color w:val="242424"/>
                <w:sz w:val="20"/>
                <w:szCs w:val="20"/>
              </w:rPr>
              <w:t>Не проводилась</w:t>
            </w:r>
          </w:p>
        </w:tc>
        <w:tc>
          <w:tcPr>
            <w:tcW w:w="1559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C45EC" w:rsidRPr="003F5AE9" w:rsidTr="007C45EC">
        <w:trPr>
          <w:trHeight w:val="298"/>
        </w:trPr>
        <w:tc>
          <w:tcPr>
            <w:tcW w:w="5920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 xml:space="preserve">7.6. Оценка рисков неблагоприятных последствий </w:t>
            </w:r>
          </w:p>
        </w:tc>
        <w:tc>
          <w:tcPr>
            <w:tcW w:w="2727" w:type="dxa"/>
          </w:tcPr>
          <w:p w:rsidR="007C45EC" w:rsidRPr="007C45EC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45EC">
              <w:rPr>
                <w:color w:val="242424"/>
                <w:sz w:val="20"/>
                <w:szCs w:val="20"/>
              </w:rPr>
              <w:t>Отсутствие нормативного акта</w:t>
            </w:r>
          </w:p>
        </w:tc>
        <w:tc>
          <w:tcPr>
            <w:tcW w:w="1559" w:type="dxa"/>
          </w:tcPr>
          <w:p w:rsidR="007C45EC" w:rsidRPr="003F5AE9" w:rsidRDefault="007C45EC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06066E" w:rsidRPr="003F5AE9" w:rsidRDefault="0006066E" w:rsidP="0006066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06066E" w:rsidRPr="003F5AE9" w:rsidRDefault="0006066E" w:rsidP="00866EE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709"/>
        <w:jc w:val="both"/>
        <w:textAlignment w:val="baseline"/>
        <w:rPr>
          <w:i/>
          <w:vertAlign w:val="superscript"/>
        </w:rPr>
      </w:pPr>
      <w:r w:rsidRPr="003F5AE9">
        <w:t xml:space="preserve">7.7. Обоснование выбора </w:t>
      </w:r>
      <w:proofErr w:type="gramStart"/>
      <w:r w:rsidRPr="003F5AE9">
        <w:t>предпочтительного</w:t>
      </w:r>
      <w:r>
        <w:t xml:space="preserve"> </w:t>
      </w:r>
      <w:r w:rsidRPr="003F5AE9">
        <w:t>варианта</w:t>
      </w:r>
      <w:proofErr w:type="gramEnd"/>
      <w:r w:rsidRPr="003F5AE9">
        <w:t xml:space="preserve"> предлагаемого проектом муниципального НПА правового регулирования выявленной проблемы:</w:t>
      </w:r>
      <w:r w:rsidR="00866EE5">
        <w:t xml:space="preserve"> варианты не рассматривались.</w:t>
      </w:r>
    </w:p>
    <w:p w:rsidR="0006066E" w:rsidRPr="003F5AE9" w:rsidRDefault="0006066E" w:rsidP="00866EE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76" w:lineRule="auto"/>
        <w:ind w:firstLine="709"/>
        <w:jc w:val="both"/>
        <w:textAlignment w:val="baseline"/>
        <w:rPr>
          <w:i/>
        </w:rPr>
      </w:pPr>
      <w:r w:rsidRPr="003F5AE9">
        <w:t xml:space="preserve">8. Иная информация по решению органа-разработчика, относящаяся к сведениям о </w:t>
      </w:r>
      <w:r w:rsidRPr="003F5AE9">
        <w:lastRenderedPageBreak/>
        <w:t xml:space="preserve">подготовке </w:t>
      </w:r>
      <w:r w:rsidRPr="003F5AE9">
        <w:rPr>
          <w:rFonts w:eastAsia="Calibri"/>
        </w:rPr>
        <w:t xml:space="preserve">предлагаемого </w:t>
      </w:r>
      <w:r w:rsidRPr="003F5AE9">
        <w:t>проекта муниципального НПА:</w:t>
      </w:r>
      <w:r w:rsidR="00866EE5">
        <w:t xml:space="preserve"> нет.</w:t>
      </w:r>
    </w:p>
    <w:p w:rsidR="0006066E" w:rsidRPr="003F5AE9" w:rsidRDefault="0006066E" w:rsidP="0006066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591"/>
        <w:gridCol w:w="931"/>
      </w:tblGrid>
      <w:tr w:rsidR="0006066E" w:rsidRPr="003F5AE9" w:rsidTr="00D62726">
        <w:trPr>
          <w:trHeight w:val="525"/>
        </w:trPr>
        <w:tc>
          <w:tcPr>
            <w:tcW w:w="567" w:type="dxa"/>
          </w:tcPr>
          <w:p w:rsidR="0006066E" w:rsidRPr="003F5AE9" w:rsidRDefault="0006066E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1</w:t>
            </w:r>
          </w:p>
        </w:tc>
        <w:tc>
          <w:tcPr>
            <w:tcW w:w="8647" w:type="dxa"/>
          </w:tcPr>
          <w:p w:rsidR="0006066E" w:rsidRPr="003F5AE9" w:rsidRDefault="0006066E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06066E" w:rsidRPr="003F5AE9" w:rsidRDefault="00DD16DE" w:rsidP="00D627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MS Mincho" w:eastAsia="MS Mincho" w:hAnsi="MS Mincho" w:cs="MS Mincho" w:hint="eastAsia"/>
              </w:rPr>
              <w:t>9</w:t>
            </w:r>
          </w:p>
        </w:tc>
      </w:tr>
      <w:tr w:rsidR="0006066E" w:rsidRPr="003F5AE9" w:rsidTr="00D62726">
        <w:trPr>
          <w:trHeight w:val="481"/>
        </w:trPr>
        <w:tc>
          <w:tcPr>
            <w:tcW w:w="567" w:type="dxa"/>
          </w:tcPr>
          <w:p w:rsidR="0006066E" w:rsidRPr="003F5AE9" w:rsidRDefault="0006066E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2</w:t>
            </w:r>
          </w:p>
        </w:tc>
        <w:tc>
          <w:tcPr>
            <w:tcW w:w="8647" w:type="dxa"/>
          </w:tcPr>
          <w:p w:rsidR="0006066E" w:rsidRPr="003F5AE9" w:rsidRDefault="0006066E" w:rsidP="00D627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06066E" w:rsidRPr="003F5AE9" w:rsidRDefault="00DD16DE" w:rsidP="00D627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MS Mincho" w:eastAsia="MS Mincho" w:hAnsi="MS Mincho" w:cs="MS Mincho" w:hint="eastAsia"/>
              </w:rPr>
              <w:t>0</w:t>
            </w:r>
          </w:p>
        </w:tc>
      </w:tr>
    </w:tbl>
    <w:p w:rsidR="00E173F4" w:rsidRDefault="0074156A"/>
    <w:sectPr w:rsidR="00E173F4" w:rsidSect="007F34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6E"/>
    <w:rsid w:val="0006066E"/>
    <w:rsid w:val="000912F1"/>
    <w:rsid w:val="000E42C5"/>
    <w:rsid w:val="001A524D"/>
    <w:rsid w:val="003626AC"/>
    <w:rsid w:val="004309B1"/>
    <w:rsid w:val="0074156A"/>
    <w:rsid w:val="00745F8E"/>
    <w:rsid w:val="007C45EC"/>
    <w:rsid w:val="007F34FA"/>
    <w:rsid w:val="00866EE5"/>
    <w:rsid w:val="00976B6A"/>
    <w:rsid w:val="009A374B"/>
    <w:rsid w:val="00BA78F5"/>
    <w:rsid w:val="00D1526D"/>
    <w:rsid w:val="00D557D1"/>
    <w:rsid w:val="00DD16DE"/>
    <w:rsid w:val="00D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AB02"/>
  <w15:chartTrackingRefBased/>
  <w15:docId w15:val="{94DF1F1A-2B0D-4DDD-8019-F2DF2AEE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66E"/>
    <w:rPr>
      <w:color w:val="0563C1" w:themeColor="hyperlink"/>
      <w:u w:val="single"/>
    </w:rPr>
  </w:style>
  <w:style w:type="character" w:customStyle="1" w:styleId="1">
    <w:name w:val="Основной текст Знак1"/>
    <w:rsid w:val="00976B6A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5920777AEB4D5E251C23ADCC85CC8D29DF8C0071290C1196F04D524mCK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65920777AEB4D5E251C334C9C85CC8D29EFBCE031290C1196F04D524mC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region.ru" TargetMode="External"/><Relationship Id="rId5" Type="http://schemas.openxmlformats.org/officeDocument/2006/relationships/hyperlink" Target="http://www.ruzaregio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pirmr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2017-09-11T07:46:00Z</dcterms:created>
  <dcterms:modified xsi:type="dcterms:W3CDTF">2017-09-11T11:51:00Z</dcterms:modified>
</cp:coreProperties>
</file>